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072A" w14:textId="66F58C2C" w:rsidR="00DD4A46" w:rsidRDefault="00DD4A46" w:rsidP="00DD4A46">
      <w:pPr>
        <w:jc w:val="center"/>
        <w:rPr>
          <w:b/>
          <w:sz w:val="22"/>
          <w:szCs w:val="22"/>
        </w:rPr>
      </w:pPr>
      <w:r w:rsidRPr="00DE6D12">
        <w:rPr>
          <w:b/>
          <w:sz w:val="22"/>
          <w:szCs w:val="22"/>
        </w:rPr>
        <w:t>202</w:t>
      </w:r>
      <w:r w:rsidR="00CE5B8D">
        <w:rPr>
          <w:b/>
          <w:sz w:val="22"/>
          <w:szCs w:val="22"/>
        </w:rPr>
        <w:t>6</w:t>
      </w:r>
      <w:r w:rsidRPr="00DE6D12">
        <w:rPr>
          <w:b/>
          <w:sz w:val="22"/>
          <w:szCs w:val="22"/>
        </w:rPr>
        <w:t xml:space="preserve"> Budget</w:t>
      </w:r>
      <w:r w:rsidR="00CE5B8D">
        <w:rPr>
          <w:b/>
          <w:sz w:val="22"/>
          <w:szCs w:val="22"/>
        </w:rPr>
        <w:t xml:space="preserve"> and Legislative</w:t>
      </w:r>
      <w:r w:rsidRPr="00DE6D12">
        <w:rPr>
          <w:b/>
          <w:sz w:val="22"/>
          <w:szCs w:val="22"/>
        </w:rPr>
        <w:t xml:space="preserve"> Priorities</w:t>
      </w:r>
      <w:r w:rsidR="00225818" w:rsidRPr="00DE6D12">
        <w:rPr>
          <w:b/>
          <w:sz w:val="22"/>
          <w:szCs w:val="22"/>
        </w:rPr>
        <w:t xml:space="preserve"> </w:t>
      </w:r>
    </w:p>
    <w:p w14:paraId="59E152AA" w14:textId="77777777" w:rsidR="00855736" w:rsidRDefault="00855736" w:rsidP="00855736">
      <w:pPr>
        <w:rPr>
          <w:iCs/>
          <w:sz w:val="22"/>
          <w:szCs w:val="22"/>
        </w:rPr>
      </w:pPr>
    </w:p>
    <w:p w14:paraId="2311DFB8" w14:textId="2C8F70FB" w:rsidR="00855736" w:rsidRDefault="00855736" w:rsidP="00855736">
      <w:pPr>
        <w:pStyle w:val="ListParagraph"/>
        <w:numPr>
          <w:ilvl w:val="0"/>
          <w:numId w:val="4"/>
        </w:numPr>
        <w:rPr>
          <w:iCs/>
          <w:sz w:val="22"/>
          <w:szCs w:val="22"/>
        </w:rPr>
      </w:pPr>
      <w:r>
        <w:rPr>
          <w:iCs/>
          <w:sz w:val="22"/>
          <w:szCs w:val="22"/>
        </w:rPr>
        <w:t>Maintain 2025 Funding Levels for:</w:t>
      </w:r>
    </w:p>
    <w:p w14:paraId="3C7B2D63" w14:textId="3ACE925B" w:rsidR="00855736" w:rsidRDefault="00855736" w:rsidP="00CE5B8D">
      <w:pPr>
        <w:pStyle w:val="ListParagraph"/>
        <w:ind w:left="1440"/>
        <w:rPr>
          <w:iCs/>
          <w:sz w:val="22"/>
          <w:szCs w:val="22"/>
        </w:rPr>
      </w:pPr>
    </w:p>
    <w:p w14:paraId="3C5AA7CF" w14:textId="0A44F285" w:rsidR="00855736" w:rsidRDefault="00855736" w:rsidP="00855736">
      <w:pPr>
        <w:pStyle w:val="ListParagraph"/>
        <w:numPr>
          <w:ilvl w:val="1"/>
          <w:numId w:val="4"/>
        </w:numPr>
        <w:rPr>
          <w:iCs/>
          <w:sz w:val="22"/>
          <w:szCs w:val="22"/>
        </w:rPr>
      </w:pPr>
      <w:r>
        <w:rPr>
          <w:iCs/>
          <w:sz w:val="22"/>
          <w:szCs w:val="22"/>
        </w:rPr>
        <w:t>Small Rental Development Initiative (SRDI)</w:t>
      </w:r>
      <w:r w:rsidR="00CE5B8D">
        <w:rPr>
          <w:iCs/>
          <w:sz w:val="22"/>
          <w:szCs w:val="22"/>
        </w:rPr>
        <w:t xml:space="preserve"> - $10 million</w:t>
      </w:r>
    </w:p>
    <w:p w14:paraId="0EBE0BC4" w14:textId="42248E8C" w:rsidR="00855736" w:rsidRDefault="00855736" w:rsidP="00855736">
      <w:pPr>
        <w:pStyle w:val="ListParagraph"/>
        <w:numPr>
          <w:ilvl w:val="1"/>
          <w:numId w:val="4"/>
        </w:numPr>
        <w:rPr>
          <w:iCs/>
          <w:sz w:val="22"/>
          <w:szCs w:val="22"/>
        </w:rPr>
      </w:pPr>
      <w:r>
        <w:rPr>
          <w:iCs/>
          <w:sz w:val="22"/>
          <w:szCs w:val="22"/>
        </w:rPr>
        <w:t>Access to Home</w:t>
      </w:r>
      <w:r w:rsidR="00CE5B8D">
        <w:rPr>
          <w:iCs/>
          <w:sz w:val="22"/>
          <w:szCs w:val="22"/>
        </w:rPr>
        <w:t xml:space="preserve"> - $5 million</w:t>
      </w:r>
    </w:p>
    <w:p w14:paraId="10CE4F78" w14:textId="2B8B5F76" w:rsidR="00855736" w:rsidRDefault="00855736" w:rsidP="00855736">
      <w:pPr>
        <w:pStyle w:val="ListParagraph"/>
        <w:numPr>
          <w:ilvl w:val="1"/>
          <w:numId w:val="4"/>
        </w:numPr>
        <w:rPr>
          <w:iCs/>
          <w:sz w:val="22"/>
          <w:szCs w:val="22"/>
        </w:rPr>
      </w:pPr>
      <w:r>
        <w:rPr>
          <w:iCs/>
          <w:sz w:val="22"/>
          <w:szCs w:val="22"/>
        </w:rPr>
        <w:t>Infrastructure</w:t>
      </w:r>
      <w:r w:rsidR="00CE5B8D">
        <w:rPr>
          <w:iCs/>
          <w:sz w:val="22"/>
          <w:szCs w:val="22"/>
        </w:rPr>
        <w:t xml:space="preserve"> tied to Housing Development - $100 million</w:t>
      </w:r>
    </w:p>
    <w:p w14:paraId="409C278A" w14:textId="4F6A7A46" w:rsidR="00855736" w:rsidRDefault="00855736" w:rsidP="00855736">
      <w:pPr>
        <w:pStyle w:val="ListParagraph"/>
        <w:numPr>
          <w:ilvl w:val="1"/>
          <w:numId w:val="4"/>
        </w:numPr>
        <w:rPr>
          <w:iCs/>
          <w:sz w:val="22"/>
          <w:szCs w:val="22"/>
        </w:rPr>
      </w:pPr>
      <w:r>
        <w:rPr>
          <w:iCs/>
          <w:sz w:val="22"/>
          <w:szCs w:val="22"/>
        </w:rPr>
        <w:t>USDA 515 Preservation</w:t>
      </w:r>
      <w:r w:rsidR="00CE5B8D">
        <w:rPr>
          <w:iCs/>
          <w:sz w:val="22"/>
          <w:szCs w:val="22"/>
        </w:rPr>
        <w:t xml:space="preserve"> - $10 million</w:t>
      </w:r>
    </w:p>
    <w:p w14:paraId="519F8990" w14:textId="43DF80DF" w:rsidR="00C97F6E" w:rsidRDefault="00C97F6E" w:rsidP="00855736">
      <w:pPr>
        <w:pStyle w:val="ListParagraph"/>
        <w:numPr>
          <w:ilvl w:val="1"/>
          <w:numId w:val="4"/>
        </w:numPr>
        <w:rPr>
          <w:iCs/>
          <w:sz w:val="22"/>
          <w:szCs w:val="22"/>
        </w:rPr>
      </w:pPr>
      <w:r>
        <w:rPr>
          <w:iCs/>
          <w:sz w:val="22"/>
          <w:szCs w:val="22"/>
        </w:rPr>
        <w:t>Vacant Rental Improvement Program (VRIP) - $40 million</w:t>
      </w:r>
    </w:p>
    <w:p w14:paraId="239441F1" w14:textId="71C77C14" w:rsidR="00C97F6E" w:rsidRDefault="00C97F6E" w:rsidP="00855736">
      <w:pPr>
        <w:pStyle w:val="ListParagraph"/>
        <w:numPr>
          <w:ilvl w:val="1"/>
          <w:numId w:val="4"/>
        </w:numPr>
        <w:rPr>
          <w:iCs/>
          <w:sz w:val="22"/>
          <w:szCs w:val="22"/>
        </w:rPr>
      </w:pPr>
      <w:r>
        <w:rPr>
          <w:iCs/>
          <w:sz w:val="22"/>
          <w:szCs w:val="22"/>
        </w:rPr>
        <w:t>Homeowner Protection Program (HOPP) - $40 million</w:t>
      </w:r>
    </w:p>
    <w:p w14:paraId="4DD5E685" w14:textId="77777777" w:rsidR="00855736" w:rsidRDefault="00855736" w:rsidP="00855736">
      <w:pPr>
        <w:pStyle w:val="ListParagraph"/>
        <w:ind w:left="1440"/>
        <w:rPr>
          <w:iCs/>
          <w:sz w:val="22"/>
          <w:szCs w:val="22"/>
        </w:rPr>
      </w:pPr>
    </w:p>
    <w:p w14:paraId="3E82FF6E" w14:textId="0284A7E8" w:rsidR="00855736" w:rsidRDefault="00855736" w:rsidP="00855736">
      <w:pPr>
        <w:pStyle w:val="ListParagraph"/>
        <w:numPr>
          <w:ilvl w:val="0"/>
          <w:numId w:val="4"/>
        </w:numPr>
        <w:rPr>
          <w:iCs/>
          <w:sz w:val="22"/>
          <w:szCs w:val="22"/>
        </w:rPr>
      </w:pPr>
      <w:r>
        <w:rPr>
          <w:iCs/>
          <w:sz w:val="22"/>
          <w:szCs w:val="22"/>
        </w:rPr>
        <w:t>New Funding Requests:</w:t>
      </w:r>
    </w:p>
    <w:p w14:paraId="569627AD" w14:textId="77777777" w:rsidR="00CE5B8D" w:rsidRDefault="00CE5B8D" w:rsidP="00CE5B8D">
      <w:pPr>
        <w:rPr>
          <w:iCs/>
          <w:sz w:val="22"/>
          <w:szCs w:val="22"/>
        </w:rPr>
      </w:pPr>
    </w:p>
    <w:p w14:paraId="453291FC" w14:textId="097B4A10" w:rsidR="00CE5B8D" w:rsidRPr="005418F5" w:rsidRDefault="00CE5B8D" w:rsidP="00CE5B8D">
      <w:pPr>
        <w:ind w:left="720"/>
        <w:rPr>
          <w:b/>
          <w:bCs/>
          <w:iCs/>
          <w:sz w:val="22"/>
          <w:szCs w:val="22"/>
        </w:rPr>
      </w:pPr>
      <w:r w:rsidRPr="00E62CE3">
        <w:rPr>
          <w:iCs/>
          <w:sz w:val="22"/>
          <w:szCs w:val="22"/>
          <w:u w:val="single"/>
        </w:rPr>
        <w:t>Rural Preservation Program (RPP</w:t>
      </w:r>
      <w:r>
        <w:rPr>
          <w:iCs/>
          <w:sz w:val="22"/>
          <w:szCs w:val="22"/>
        </w:rPr>
        <w:t>) – The Ru</w:t>
      </w:r>
      <w:r w:rsidR="00880F03">
        <w:rPr>
          <w:iCs/>
          <w:sz w:val="22"/>
          <w:szCs w:val="22"/>
        </w:rPr>
        <w:t xml:space="preserve">ral Preservation Program funds a network of rural preservation companies (RPCs) which are nonprofit housing and community development </w:t>
      </w:r>
      <w:r w:rsidR="00AB5C59">
        <w:rPr>
          <w:iCs/>
          <w:sz w:val="22"/>
          <w:szCs w:val="22"/>
        </w:rPr>
        <w:t xml:space="preserve">organizations </w:t>
      </w:r>
      <w:r w:rsidR="00AB5C59" w:rsidRPr="00880F03">
        <w:rPr>
          <w:iCs/>
          <w:sz w:val="22"/>
          <w:szCs w:val="22"/>
        </w:rPr>
        <w:t>that</w:t>
      </w:r>
      <w:r w:rsidR="00880F03" w:rsidRPr="00880F03">
        <w:rPr>
          <w:iCs/>
          <w:sz w:val="22"/>
          <w:szCs w:val="22"/>
        </w:rPr>
        <w:t xml:space="preserve"> are the main conduit for implementing the state’s housing initiatives in the rural parts of the state.</w:t>
      </w:r>
      <w:r w:rsidR="00880F03">
        <w:rPr>
          <w:iCs/>
          <w:sz w:val="22"/>
          <w:szCs w:val="22"/>
        </w:rPr>
        <w:t xml:space="preserve"> Several rural counties in the state do not have access to the housing services provided by RPCs. </w:t>
      </w:r>
      <w:r w:rsidR="00880F03" w:rsidRPr="005418F5">
        <w:rPr>
          <w:b/>
          <w:bCs/>
          <w:iCs/>
          <w:sz w:val="22"/>
          <w:szCs w:val="22"/>
        </w:rPr>
        <w:t>Request: $</w:t>
      </w:r>
      <w:r w:rsidR="006A51D1">
        <w:rPr>
          <w:b/>
          <w:bCs/>
          <w:iCs/>
          <w:sz w:val="22"/>
          <w:szCs w:val="22"/>
        </w:rPr>
        <w:t>52</w:t>
      </w:r>
      <w:r w:rsidR="00880F03" w:rsidRPr="005418F5">
        <w:rPr>
          <w:b/>
          <w:bCs/>
          <w:iCs/>
          <w:sz w:val="22"/>
          <w:szCs w:val="22"/>
        </w:rPr>
        <w:t xml:space="preserve">0,000 in additional funding for </w:t>
      </w:r>
      <w:r w:rsidR="006A51D1">
        <w:rPr>
          <w:b/>
          <w:bCs/>
          <w:iCs/>
          <w:sz w:val="22"/>
          <w:szCs w:val="22"/>
        </w:rPr>
        <w:t>4</w:t>
      </w:r>
      <w:r w:rsidR="00880F03" w:rsidRPr="005418F5">
        <w:rPr>
          <w:b/>
          <w:bCs/>
          <w:iCs/>
          <w:sz w:val="22"/>
          <w:szCs w:val="22"/>
        </w:rPr>
        <w:t xml:space="preserve"> new RPCs</w:t>
      </w:r>
      <w:r w:rsidR="009B43B0">
        <w:rPr>
          <w:b/>
          <w:bCs/>
          <w:iCs/>
          <w:sz w:val="22"/>
          <w:szCs w:val="22"/>
        </w:rPr>
        <w:t xml:space="preserve"> plus parity in funding with NPCs</w:t>
      </w:r>
      <w:r w:rsidR="00AB5C59">
        <w:rPr>
          <w:b/>
          <w:bCs/>
          <w:iCs/>
          <w:sz w:val="22"/>
          <w:szCs w:val="22"/>
        </w:rPr>
        <w:t xml:space="preserve">. </w:t>
      </w:r>
      <w:r w:rsidR="00880F03" w:rsidRPr="005418F5">
        <w:rPr>
          <w:b/>
          <w:bCs/>
          <w:iCs/>
          <w:sz w:val="22"/>
          <w:szCs w:val="22"/>
        </w:rPr>
        <w:t>(</w:t>
      </w:r>
      <w:r w:rsidR="00AB5C59">
        <w:rPr>
          <w:b/>
          <w:bCs/>
          <w:iCs/>
          <w:sz w:val="22"/>
          <w:szCs w:val="22"/>
        </w:rPr>
        <w:t>T</w:t>
      </w:r>
      <w:r w:rsidR="005418F5" w:rsidRPr="005418F5">
        <w:rPr>
          <w:b/>
          <w:bCs/>
          <w:iCs/>
          <w:sz w:val="22"/>
          <w:szCs w:val="22"/>
        </w:rPr>
        <w:t xml:space="preserve">otal </w:t>
      </w:r>
      <w:r w:rsidR="00880F03" w:rsidRPr="005418F5">
        <w:rPr>
          <w:b/>
          <w:bCs/>
          <w:iCs/>
          <w:sz w:val="22"/>
          <w:szCs w:val="22"/>
        </w:rPr>
        <w:t>current fund</w:t>
      </w:r>
      <w:r w:rsidR="005418F5" w:rsidRPr="005418F5">
        <w:rPr>
          <w:b/>
          <w:bCs/>
          <w:iCs/>
          <w:sz w:val="22"/>
          <w:szCs w:val="22"/>
        </w:rPr>
        <w:t>ing</w:t>
      </w:r>
      <w:r w:rsidR="00880F03" w:rsidRPr="005418F5">
        <w:rPr>
          <w:b/>
          <w:bCs/>
          <w:iCs/>
          <w:sz w:val="22"/>
          <w:szCs w:val="22"/>
        </w:rPr>
        <w:t xml:space="preserve"> </w:t>
      </w:r>
      <w:r w:rsidR="005418F5" w:rsidRPr="005418F5">
        <w:rPr>
          <w:b/>
          <w:bCs/>
          <w:iCs/>
          <w:sz w:val="22"/>
          <w:szCs w:val="22"/>
        </w:rPr>
        <w:t>is</w:t>
      </w:r>
      <w:r w:rsidR="00880F03" w:rsidRPr="005418F5">
        <w:rPr>
          <w:b/>
          <w:bCs/>
          <w:iCs/>
          <w:sz w:val="22"/>
          <w:szCs w:val="22"/>
        </w:rPr>
        <w:t xml:space="preserve"> $8</w:t>
      </w:r>
      <w:r w:rsidR="005418F5" w:rsidRPr="005418F5">
        <w:rPr>
          <w:b/>
          <w:bCs/>
          <w:iCs/>
          <w:sz w:val="22"/>
          <w:szCs w:val="22"/>
        </w:rPr>
        <w:t>.05</w:t>
      </w:r>
      <w:r w:rsidR="00880F03" w:rsidRPr="005418F5">
        <w:rPr>
          <w:b/>
          <w:bCs/>
          <w:iCs/>
          <w:sz w:val="22"/>
          <w:szCs w:val="22"/>
        </w:rPr>
        <w:t xml:space="preserve"> million</w:t>
      </w:r>
      <w:r w:rsidR="0053431E">
        <w:rPr>
          <w:b/>
          <w:bCs/>
          <w:iCs/>
          <w:sz w:val="22"/>
          <w:szCs w:val="22"/>
        </w:rPr>
        <w:t xml:space="preserve"> including $250,000 for the Rural Housing Coalition</w:t>
      </w:r>
      <w:r w:rsidR="00880F03" w:rsidRPr="005418F5">
        <w:rPr>
          <w:b/>
          <w:bCs/>
          <w:iCs/>
          <w:sz w:val="22"/>
          <w:szCs w:val="22"/>
        </w:rPr>
        <w:t>).</w:t>
      </w:r>
    </w:p>
    <w:p w14:paraId="30B40ED8" w14:textId="77777777" w:rsidR="00855736" w:rsidRPr="005418F5" w:rsidRDefault="00855736" w:rsidP="00855736">
      <w:pPr>
        <w:pStyle w:val="ListParagraph"/>
        <w:jc w:val="both"/>
        <w:rPr>
          <w:b/>
          <w:bCs/>
          <w:i/>
          <w:sz w:val="22"/>
          <w:szCs w:val="22"/>
          <w:u w:val="single"/>
        </w:rPr>
      </w:pPr>
    </w:p>
    <w:p w14:paraId="3E6BE4B6" w14:textId="733C6265" w:rsidR="00855736" w:rsidRDefault="00370221" w:rsidP="00855736">
      <w:pPr>
        <w:pStyle w:val="ListParagraph"/>
        <w:jc w:val="both"/>
        <w:rPr>
          <w:b/>
          <w:bCs/>
          <w:iCs/>
          <w:sz w:val="22"/>
          <w:szCs w:val="22"/>
        </w:rPr>
      </w:pPr>
      <w:r>
        <w:rPr>
          <w:i/>
          <w:sz w:val="22"/>
          <w:szCs w:val="22"/>
          <w:u w:val="single"/>
        </w:rPr>
        <w:t>RESTORE</w:t>
      </w:r>
      <w:r w:rsidR="00855736" w:rsidRPr="00DE6D12">
        <w:rPr>
          <w:iCs/>
          <w:sz w:val="22"/>
          <w:szCs w:val="22"/>
        </w:rPr>
        <w:t xml:space="preserve"> </w:t>
      </w:r>
      <w:r>
        <w:rPr>
          <w:iCs/>
          <w:sz w:val="22"/>
          <w:szCs w:val="22"/>
        </w:rPr>
        <w:t>–</w:t>
      </w:r>
      <w:r w:rsidR="00855736" w:rsidRPr="00DE6D12">
        <w:rPr>
          <w:iCs/>
          <w:sz w:val="22"/>
          <w:szCs w:val="22"/>
        </w:rPr>
        <w:t xml:space="preserve"> </w:t>
      </w:r>
      <w:r w:rsidR="00AA323B">
        <w:rPr>
          <w:iCs/>
          <w:sz w:val="22"/>
          <w:szCs w:val="22"/>
        </w:rPr>
        <w:t>Expand</w:t>
      </w:r>
      <w:r>
        <w:rPr>
          <w:iCs/>
          <w:sz w:val="22"/>
          <w:szCs w:val="22"/>
        </w:rPr>
        <w:t xml:space="preserve"> eligible projects and increase funding for the program to allow for not only emergency repairs but also any small</w:t>
      </w:r>
      <w:r w:rsidR="00855736" w:rsidRPr="00DE6D12">
        <w:rPr>
          <w:iCs/>
          <w:sz w:val="22"/>
          <w:szCs w:val="22"/>
        </w:rPr>
        <w:t xml:space="preserve"> household repairs and improvements (grab bars, railings, minor plumbing and electrical work, window and door repairs, </w:t>
      </w:r>
      <w:proofErr w:type="spellStart"/>
      <w:r w:rsidR="00855736" w:rsidRPr="00DE6D12">
        <w:rPr>
          <w:iCs/>
          <w:sz w:val="22"/>
          <w:szCs w:val="22"/>
        </w:rPr>
        <w:t>etc</w:t>
      </w:r>
      <w:proofErr w:type="spellEnd"/>
      <w:r w:rsidR="00855736" w:rsidRPr="00DE6D12">
        <w:rPr>
          <w:iCs/>
          <w:sz w:val="22"/>
          <w:szCs w:val="22"/>
        </w:rPr>
        <w:t xml:space="preserve">) to promote safe aging in place for low-mod income seniors in either owner-occupied or rental homes. </w:t>
      </w:r>
      <w:r w:rsidR="00855736" w:rsidRPr="00DE6D12">
        <w:rPr>
          <w:b/>
          <w:bCs/>
          <w:iCs/>
          <w:sz w:val="22"/>
          <w:szCs w:val="22"/>
        </w:rPr>
        <w:t>Request: $</w:t>
      </w:r>
      <w:r>
        <w:rPr>
          <w:b/>
          <w:bCs/>
          <w:iCs/>
          <w:sz w:val="22"/>
          <w:szCs w:val="22"/>
        </w:rPr>
        <w:t>10</w:t>
      </w:r>
      <w:r w:rsidR="00855736" w:rsidRPr="00DE6D12">
        <w:rPr>
          <w:b/>
          <w:bCs/>
          <w:iCs/>
          <w:sz w:val="22"/>
          <w:szCs w:val="22"/>
        </w:rPr>
        <w:t xml:space="preserve"> million</w:t>
      </w:r>
      <w:r w:rsidR="00E0017F">
        <w:rPr>
          <w:b/>
          <w:bCs/>
          <w:iCs/>
          <w:sz w:val="22"/>
          <w:szCs w:val="22"/>
        </w:rPr>
        <w:t xml:space="preserve"> (currently funded at $4 million)</w:t>
      </w:r>
      <w:r w:rsidR="00855736" w:rsidRPr="00DE6D12">
        <w:rPr>
          <w:b/>
          <w:bCs/>
          <w:iCs/>
          <w:sz w:val="22"/>
          <w:szCs w:val="22"/>
        </w:rPr>
        <w:t xml:space="preserve">   </w:t>
      </w:r>
    </w:p>
    <w:p w14:paraId="7B56407E" w14:textId="77777777" w:rsidR="00855736" w:rsidRDefault="00855736" w:rsidP="00855736">
      <w:pPr>
        <w:pStyle w:val="ListParagraph"/>
        <w:jc w:val="both"/>
        <w:rPr>
          <w:iCs/>
          <w:sz w:val="22"/>
          <w:szCs w:val="22"/>
        </w:rPr>
      </w:pPr>
    </w:p>
    <w:p w14:paraId="370D4A6A" w14:textId="77777777" w:rsidR="00F00F43" w:rsidRDefault="00855736" w:rsidP="00855736">
      <w:pPr>
        <w:pStyle w:val="ListParagraph"/>
        <w:jc w:val="both"/>
        <w:rPr>
          <w:sz w:val="22"/>
          <w:szCs w:val="22"/>
        </w:rPr>
      </w:pPr>
      <w:r w:rsidRPr="00DE6D12">
        <w:rPr>
          <w:i/>
          <w:sz w:val="22"/>
          <w:szCs w:val="22"/>
          <w:u w:val="single"/>
        </w:rPr>
        <w:t xml:space="preserve">Main Street Program </w:t>
      </w:r>
      <w:r w:rsidRPr="00DE6D12">
        <w:rPr>
          <w:sz w:val="22"/>
          <w:szCs w:val="22"/>
        </w:rPr>
        <w:t xml:space="preserve">– The New York Main Street program plays an important role in revitalizing small communities in rural New York through building renovations, façade improvements and streetscape enhancements.  The program over the past 5 years has received annual requests for over $10 million. </w:t>
      </w:r>
      <w:r w:rsidR="00F00F43">
        <w:rPr>
          <w:sz w:val="22"/>
          <w:szCs w:val="22"/>
        </w:rPr>
        <w:t xml:space="preserve"> In addition, </w:t>
      </w:r>
      <w:r w:rsidR="00F00F43" w:rsidRPr="00F00F43">
        <w:rPr>
          <w:sz w:val="22"/>
          <w:szCs w:val="22"/>
        </w:rPr>
        <w:t>New York Main Street program users would benefit from increased flexibility related to planning and technical assistance activities</w:t>
      </w:r>
      <w:r w:rsidR="00F00F43">
        <w:rPr>
          <w:sz w:val="22"/>
          <w:szCs w:val="22"/>
        </w:rPr>
        <w:t xml:space="preserve"> if the </w:t>
      </w:r>
      <w:r w:rsidR="00F00F43" w:rsidRPr="00F00F43">
        <w:rPr>
          <w:sz w:val="22"/>
          <w:szCs w:val="22"/>
        </w:rPr>
        <w:t>funding</w:t>
      </w:r>
      <w:r w:rsidR="00F00F43">
        <w:rPr>
          <w:sz w:val="22"/>
          <w:szCs w:val="22"/>
        </w:rPr>
        <w:t xml:space="preserve"> was </w:t>
      </w:r>
      <w:r w:rsidR="00F00F43" w:rsidRPr="00F00F43">
        <w:rPr>
          <w:sz w:val="22"/>
          <w:szCs w:val="22"/>
        </w:rPr>
        <w:t>shift</w:t>
      </w:r>
      <w:r w:rsidR="00F00F43">
        <w:rPr>
          <w:sz w:val="22"/>
          <w:szCs w:val="22"/>
        </w:rPr>
        <w:t>ed</w:t>
      </w:r>
      <w:r w:rsidR="00F00F43" w:rsidRPr="00F00F43">
        <w:rPr>
          <w:sz w:val="22"/>
          <w:szCs w:val="22"/>
        </w:rPr>
        <w:t xml:space="preserve"> from the Capital Budget to Local Assistance.</w:t>
      </w:r>
    </w:p>
    <w:p w14:paraId="78826027" w14:textId="4DC1894C" w:rsidR="00855736" w:rsidRDefault="00855736" w:rsidP="00855736">
      <w:pPr>
        <w:pStyle w:val="ListParagraph"/>
        <w:jc w:val="both"/>
        <w:rPr>
          <w:b/>
          <w:sz w:val="22"/>
          <w:szCs w:val="22"/>
        </w:rPr>
      </w:pPr>
      <w:r w:rsidRPr="00DE6D12">
        <w:rPr>
          <w:b/>
          <w:sz w:val="22"/>
          <w:szCs w:val="22"/>
        </w:rPr>
        <w:t>Request: $10 million (currently funded at $4.2 million</w:t>
      </w:r>
      <w:r w:rsidR="00F00F43">
        <w:rPr>
          <w:b/>
          <w:sz w:val="22"/>
          <w:szCs w:val="22"/>
        </w:rPr>
        <w:t>)</w:t>
      </w:r>
    </w:p>
    <w:p w14:paraId="4F3F9139" w14:textId="77777777" w:rsidR="00855736" w:rsidRDefault="00855736" w:rsidP="00855736">
      <w:pPr>
        <w:pStyle w:val="ListParagraph"/>
        <w:jc w:val="both"/>
        <w:rPr>
          <w:i/>
          <w:sz w:val="22"/>
          <w:szCs w:val="22"/>
          <w:u w:val="single"/>
        </w:rPr>
      </w:pPr>
    </w:p>
    <w:p w14:paraId="35DA0CCF" w14:textId="6D784786" w:rsidR="00855736" w:rsidRDefault="00855736" w:rsidP="00855736">
      <w:pPr>
        <w:pStyle w:val="ListParagraph"/>
        <w:jc w:val="both"/>
        <w:rPr>
          <w:b/>
          <w:sz w:val="22"/>
          <w:szCs w:val="22"/>
        </w:rPr>
      </w:pPr>
      <w:r w:rsidRPr="00DE6D12">
        <w:rPr>
          <w:i/>
          <w:sz w:val="22"/>
          <w:szCs w:val="22"/>
          <w:u w:val="single"/>
        </w:rPr>
        <w:t>Affordable Housing Corporation (AHC)</w:t>
      </w:r>
      <w:r w:rsidRPr="00DE6D12">
        <w:rPr>
          <w:sz w:val="22"/>
          <w:szCs w:val="22"/>
        </w:rPr>
        <w:t xml:space="preserve"> – The program supports homeownership through new construction, provides down payment and closing cost assistance and the rehabilitation of owner-occupied housing.  The Legislature increased funding in 2022 from $26 million to $36 million.</w:t>
      </w:r>
      <w:r w:rsidR="00B03094">
        <w:rPr>
          <w:sz w:val="22"/>
          <w:szCs w:val="22"/>
        </w:rPr>
        <w:t xml:space="preserve"> </w:t>
      </w:r>
      <w:r w:rsidRPr="00DE6D12">
        <w:rPr>
          <w:b/>
          <w:sz w:val="22"/>
          <w:szCs w:val="22"/>
        </w:rPr>
        <w:t xml:space="preserve">Request: </w:t>
      </w:r>
      <w:r>
        <w:rPr>
          <w:b/>
          <w:sz w:val="22"/>
          <w:szCs w:val="22"/>
        </w:rPr>
        <w:t>$</w:t>
      </w:r>
      <w:r w:rsidR="00777B4A">
        <w:rPr>
          <w:b/>
          <w:sz w:val="22"/>
          <w:szCs w:val="22"/>
        </w:rPr>
        <w:t>30</w:t>
      </w:r>
      <w:r w:rsidRPr="00DE6D12">
        <w:rPr>
          <w:b/>
          <w:sz w:val="22"/>
          <w:szCs w:val="22"/>
        </w:rPr>
        <w:t xml:space="preserve"> million (currently funded at $26 million). </w:t>
      </w:r>
    </w:p>
    <w:p w14:paraId="2B7CB667" w14:textId="77777777" w:rsidR="000461CE" w:rsidRDefault="000461CE" w:rsidP="00855736">
      <w:pPr>
        <w:pStyle w:val="ListParagraph"/>
        <w:jc w:val="both"/>
        <w:rPr>
          <w:iCs/>
          <w:sz w:val="22"/>
          <w:szCs w:val="22"/>
        </w:rPr>
      </w:pPr>
    </w:p>
    <w:p w14:paraId="2603BD1A" w14:textId="77777777" w:rsidR="000461CE" w:rsidRDefault="000461CE" w:rsidP="00855736">
      <w:pPr>
        <w:pStyle w:val="ListParagraph"/>
        <w:jc w:val="both"/>
        <w:rPr>
          <w:iCs/>
          <w:sz w:val="22"/>
          <w:szCs w:val="22"/>
        </w:rPr>
      </w:pPr>
    </w:p>
    <w:p w14:paraId="08D1E349" w14:textId="36C822D9" w:rsidR="000461CE" w:rsidRDefault="000461CE" w:rsidP="000461CE">
      <w:pPr>
        <w:pStyle w:val="ListParagraph"/>
        <w:numPr>
          <w:ilvl w:val="0"/>
          <w:numId w:val="4"/>
        </w:numPr>
        <w:jc w:val="both"/>
        <w:rPr>
          <w:iCs/>
          <w:sz w:val="22"/>
          <w:szCs w:val="22"/>
        </w:rPr>
      </w:pPr>
      <w:r>
        <w:rPr>
          <w:iCs/>
          <w:sz w:val="22"/>
          <w:szCs w:val="22"/>
        </w:rPr>
        <w:t>Legislative/Regulatory Requests</w:t>
      </w:r>
    </w:p>
    <w:p w14:paraId="5585562D" w14:textId="77777777" w:rsidR="000461CE" w:rsidRDefault="000461CE" w:rsidP="000461CE">
      <w:pPr>
        <w:jc w:val="both"/>
        <w:rPr>
          <w:iCs/>
          <w:sz w:val="22"/>
          <w:szCs w:val="22"/>
        </w:rPr>
      </w:pPr>
    </w:p>
    <w:p w14:paraId="6081561D" w14:textId="5828F86E" w:rsidR="000461CE" w:rsidRDefault="000461CE" w:rsidP="000461CE">
      <w:pPr>
        <w:ind w:left="720"/>
        <w:jc w:val="both"/>
        <w:rPr>
          <w:iCs/>
          <w:sz w:val="22"/>
          <w:szCs w:val="22"/>
        </w:rPr>
      </w:pPr>
      <w:r>
        <w:rPr>
          <w:iCs/>
          <w:sz w:val="22"/>
          <w:szCs w:val="22"/>
        </w:rPr>
        <w:t>Make MMHR Program Permanent and raise administrative fee to 10%</w:t>
      </w:r>
      <w:r w:rsidR="00777B4A">
        <w:rPr>
          <w:iCs/>
          <w:sz w:val="22"/>
          <w:szCs w:val="22"/>
        </w:rPr>
        <w:t>.</w:t>
      </w:r>
      <w:r w:rsidR="00370221">
        <w:rPr>
          <w:iCs/>
          <w:sz w:val="22"/>
          <w:szCs w:val="22"/>
        </w:rPr>
        <w:t xml:space="preserve"> </w:t>
      </w:r>
      <w:hyperlink r:id="rId7" w:history="1">
        <w:r w:rsidR="00370221" w:rsidRPr="00AA323B">
          <w:rPr>
            <w:rStyle w:val="Hyperlink"/>
            <w:iCs/>
            <w:sz w:val="22"/>
            <w:szCs w:val="22"/>
          </w:rPr>
          <w:t>S.2721/A.5655</w:t>
        </w:r>
      </w:hyperlink>
    </w:p>
    <w:p w14:paraId="5FDB0959" w14:textId="03570428" w:rsidR="000461CE" w:rsidRDefault="000461CE" w:rsidP="000461CE">
      <w:pPr>
        <w:ind w:left="720"/>
        <w:jc w:val="both"/>
        <w:rPr>
          <w:iCs/>
          <w:sz w:val="22"/>
          <w:szCs w:val="22"/>
        </w:rPr>
      </w:pPr>
      <w:r>
        <w:rPr>
          <w:iCs/>
          <w:sz w:val="22"/>
          <w:szCs w:val="22"/>
        </w:rPr>
        <w:t xml:space="preserve">Make Small Rental Development Initiative (SRDI) permanent and </w:t>
      </w:r>
      <w:r w:rsidR="00777B4A">
        <w:rPr>
          <w:iCs/>
          <w:sz w:val="22"/>
          <w:szCs w:val="22"/>
        </w:rPr>
        <w:t xml:space="preserve">create </w:t>
      </w:r>
      <w:r w:rsidR="006E5266">
        <w:rPr>
          <w:iCs/>
          <w:sz w:val="22"/>
          <w:szCs w:val="22"/>
        </w:rPr>
        <w:t xml:space="preserve">rural </w:t>
      </w:r>
      <w:r w:rsidR="00777B4A">
        <w:rPr>
          <w:iCs/>
          <w:sz w:val="22"/>
          <w:szCs w:val="22"/>
        </w:rPr>
        <w:t>set aside.</w:t>
      </w:r>
      <w:r w:rsidR="00370221">
        <w:rPr>
          <w:iCs/>
          <w:sz w:val="22"/>
          <w:szCs w:val="22"/>
        </w:rPr>
        <w:t xml:space="preserve"> </w:t>
      </w:r>
      <w:hyperlink r:id="rId8" w:history="1">
        <w:r w:rsidR="006E5266" w:rsidRPr="006E5266">
          <w:rPr>
            <w:rStyle w:val="Hyperlink"/>
            <w:iCs/>
            <w:sz w:val="22"/>
            <w:szCs w:val="22"/>
          </w:rPr>
          <w:t>S.595</w:t>
        </w:r>
        <w:r w:rsidR="006E5266" w:rsidRPr="006E5266">
          <w:rPr>
            <w:rStyle w:val="Hyperlink"/>
          </w:rPr>
          <w:t>/A.489</w:t>
        </w:r>
      </w:hyperlink>
    </w:p>
    <w:p w14:paraId="1FB6AF32" w14:textId="34088976" w:rsidR="00855736" w:rsidRPr="00855736" w:rsidRDefault="000461CE" w:rsidP="00C97F6E">
      <w:pPr>
        <w:ind w:left="720"/>
        <w:jc w:val="both"/>
        <w:rPr>
          <w:iCs/>
          <w:sz w:val="22"/>
          <w:szCs w:val="22"/>
        </w:rPr>
      </w:pPr>
      <w:r>
        <w:rPr>
          <w:iCs/>
          <w:sz w:val="22"/>
          <w:szCs w:val="22"/>
        </w:rPr>
        <w:t xml:space="preserve">Allow </w:t>
      </w:r>
      <w:proofErr w:type="gramStart"/>
      <w:r>
        <w:rPr>
          <w:iCs/>
          <w:sz w:val="22"/>
          <w:szCs w:val="22"/>
        </w:rPr>
        <w:t>RPCs</w:t>
      </w:r>
      <w:proofErr w:type="gramEnd"/>
      <w:r w:rsidR="00777B4A">
        <w:rPr>
          <w:iCs/>
          <w:sz w:val="22"/>
          <w:szCs w:val="22"/>
        </w:rPr>
        <w:t xml:space="preserve"> the option</w:t>
      </w:r>
      <w:r>
        <w:rPr>
          <w:iCs/>
          <w:sz w:val="22"/>
          <w:szCs w:val="22"/>
        </w:rPr>
        <w:t xml:space="preserve"> to do repair/rehab work with staff instead of contracting out</w:t>
      </w:r>
      <w:r w:rsidR="00777B4A">
        <w:rPr>
          <w:iCs/>
          <w:sz w:val="22"/>
          <w:szCs w:val="22"/>
        </w:rPr>
        <w:t xml:space="preserve"> for repair/rehab work</w:t>
      </w:r>
      <w:r w:rsidR="00370221">
        <w:rPr>
          <w:iCs/>
          <w:sz w:val="22"/>
          <w:szCs w:val="22"/>
        </w:rPr>
        <w:t xml:space="preserve"> (</w:t>
      </w:r>
      <w:proofErr w:type="gramStart"/>
      <w:r w:rsidR="00370221">
        <w:rPr>
          <w:iCs/>
          <w:sz w:val="22"/>
          <w:szCs w:val="22"/>
        </w:rPr>
        <w:t>similar to</w:t>
      </w:r>
      <w:proofErr w:type="gramEnd"/>
      <w:r w:rsidR="00370221">
        <w:rPr>
          <w:iCs/>
          <w:sz w:val="22"/>
          <w:szCs w:val="22"/>
        </w:rPr>
        <w:t xml:space="preserve"> the Weatherization Program).</w:t>
      </w:r>
    </w:p>
    <w:sectPr w:rsidR="00855736" w:rsidRPr="00855736" w:rsidSect="00BC23C6">
      <w:headerReference w:type="default" r:id="rId9"/>
      <w:footerReference w:type="default" r:id="rId10"/>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D6D3" w14:textId="77777777" w:rsidR="00B6455A" w:rsidRDefault="00B6455A" w:rsidP="001E0AA6">
      <w:r>
        <w:separator/>
      </w:r>
    </w:p>
  </w:endnote>
  <w:endnote w:type="continuationSeparator" w:id="0">
    <w:p w14:paraId="22C10094" w14:textId="77777777" w:rsidR="00B6455A" w:rsidRDefault="00B6455A" w:rsidP="001E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ACF3" w14:textId="095784A1" w:rsidR="00DA19EA" w:rsidRDefault="00DA19EA" w:rsidP="00A75F3C">
    <w:pPr>
      <w:pStyle w:val="Footer"/>
      <w:jc w:val="center"/>
      <w:rPr>
        <w:rFonts w:asciiTheme="majorHAnsi" w:eastAsia="Times New Roman" w:hAnsiTheme="majorHAnsi" w:cstheme="majorHAnsi"/>
        <w:b/>
        <w:bCs/>
        <w:color w:val="00440E"/>
        <w:sz w:val="28"/>
        <w:szCs w:val="28"/>
        <w:shd w:val="clear" w:color="auto" w:fill="FFFFFF"/>
      </w:rPr>
    </w:pPr>
    <w:r>
      <w:rPr>
        <w:rFonts w:asciiTheme="majorHAnsi" w:eastAsia="Times New Roman" w:hAnsiTheme="majorHAnsi" w:cstheme="majorHAnsi"/>
        <w:b/>
        <w:bCs/>
        <w:noProof/>
        <w:color w:val="00440E"/>
        <w:sz w:val="28"/>
        <w:szCs w:val="28"/>
      </w:rPr>
      <mc:AlternateContent>
        <mc:Choice Requires="wps">
          <w:drawing>
            <wp:anchor distT="0" distB="0" distL="114300" distR="114300" simplePos="0" relativeHeight="251659264" behindDoc="0" locked="0" layoutInCell="1" allowOverlap="1" wp14:anchorId="7D87D78C" wp14:editId="288907E0">
              <wp:simplePos x="0" y="0"/>
              <wp:positionH relativeFrom="column">
                <wp:posOffset>0</wp:posOffset>
              </wp:positionH>
              <wp:positionV relativeFrom="paragraph">
                <wp:posOffset>91440</wp:posOffset>
              </wp:positionV>
              <wp:extent cx="68580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B8D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2pt" to="54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" strokecolor="black [3200]" strokeweight="1.5pt">
              <v:stroke joinstyle="miter"/>
            </v:line>
          </w:pict>
        </mc:Fallback>
      </mc:AlternateContent>
    </w:r>
  </w:p>
  <w:p w14:paraId="294CCCC4" w14:textId="1A601A05" w:rsidR="001E0AA6" w:rsidRPr="0083344F" w:rsidRDefault="0083344F" w:rsidP="00A75F3C">
    <w:pPr>
      <w:pStyle w:val="Footer"/>
      <w:jc w:val="center"/>
      <w:rPr>
        <w:rFonts w:ascii="Gotham Book" w:hAnsi="Gotham Book"/>
        <w:b/>
        <w:bCs/>
        <w:color w:val="00440E"/>
        <w:sz w:val="20"/>
        <w:szCs w:val="20"/>
      </w:rPr>
    </w:pPr>
    <w:r w:rsidRPr="0083344F">
      <w:rPr>
        <w:rFonts w:ascii="Gotham Book" w:eastAsia="Times New Roman" w:hAnsi="Gotham Book" w:cstheme="majorHAnsi"/>
        <w:b/>
        <w:bCs/>
        <w:color w:val="00440E"/>
        <w:sz w:val="20"/>
        <w:szCs w:val="20"/>
        <w:shd w:val="clear" w:color="auto" w:fill="FFFFFF"/>
      </w:rPr>
      <w:t>300 Great Oaks Boulevard, Suite 300 • Albany, New York 12203</w:t>
    </w:r>
    <w:r w:rsidR="00DA19EA" w:rsidRPr="0083344F">
      <w:rPr>
        <w:rFonts w:ascii="Gotham Book" w:eastAsia="Times New Roman" w:hAnsi="Gotham Book" w:cstheme="majorHAnsi"/>
        <w:b/>
        <w:bCs/>
        <w:color w:val="00440E"/>
        <w:sz w:val="20"/>
        <w:szCs w:val="20"/>
        <w:shd w:val="clear" w:color="auto" w:fill="FFFFFF"/>
      </w:rPr>
      <w:t xml:space="preserve"> • 518-458-8696 • www.ruralhousing.org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9EE8" w14:textId="77777777" w:rsidR="00B6455A" w:rsidRDefault="00B6455A" w:rsidP="001E0AA6">
      <w:r>
        <w:separator/>
      </w:r>
    </w:p>
  </w:footnote>
  <w:footnote w:type="continuationSeparator" w:id="0">
    <w:p w14:paraId="04A3F769" w14:textId="77777777" w:rsidR="00B6455A" w:rsidRDefault="00B6455A" w:rsidP="001E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CF69" w14:textId="77777777" w:rsidR="00DA19EA" w:rsidRDefault="001E0AA6" w:rsidP="00DA19EA">
    <w:pPr>
      <w:rPr>
        <w:rFonts w:asciiTheme="majorHAnsi" w:eastAsia="Times New Roman" w:hAnsiTheme="majorHAnsi" w:cstheme="majorHAnsi"/>
        <w:color w:val="00440E"/>
        <w:sz w:val="20"/>
        <w:szCs w:val="20"/>
        <w:shd w:val="clear" w:color="auto" w:fill="FFFFFF"/>
      </w:rPr>
    </w:pPr>
    <w:r w:rsidRPr="00A75F3C">
      <w:rPr>
        <w:noProof/>
        <w:color w:val="00440E"/>
      </w:rPr>
      <w:drawing>
        <wp:inline distT="0" distB="0" distL="0" distR="0" wp14:anchorId="6DD604EA" wp14:editId="37045CC7">
          <wp:extent cx="4114800" cy="639201"/>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94628" cy="651602"/>
                  </a:xfrm>
                  <a:prstGeom prst="rect">
                    <a:avLst/>
                  </a:prstGeom>
                </pic:spPr>
              </pic:pic>
            </a:graphicData>
          </a:graphic>
        </wp:inline>
      </w:drawing>
    </w:r>
    <w:r w:rsidR="00A75F3C" w:rsidRPr="00A75F3C">
      <w:rPr>
        <w:rFonts w:asciiTheme="majorHAnsi" w:eastAsia="Times New Roman" w:hAnsiTheme="majorHAnsi" w:cstheme="majorHAnsi"/>
        <w:color w:val="00440E"/>
        <w:sz w:val="20"/>
        <w:szCs w:val="20"/>
        <w:shd w:val="clear" w:color="auto" w:fill="FFFFFF"/>
      </w:rPr>
      <w:t xml:space="preserve">                 </w:t>
    </w:r>
  </w:p>
  <w:p w14:paraId="184BA5A8" w14:textId="03FB506F" w:rsidR="00A75F3C" w:rsidRPr="00DA19EA" w:rsidRDefault="00DA19EA" w:rsidP="00DA19EA">
    <w:pPr>
      <w:ind w:left="1440" w:firstLine="720"/>
      <w:rPr>
        <w:rFonts w:asciiTheme="majorHAnsi" w:eastAsia="Times New Roman" w:hAnsiTheme="majorHAnsi" w:cstheme="majorHAnsi"/>
        <w:b/>
        <w:bCs/>
        <w:i/>
        <w:iCs/>
        <w:sz w:val="28"/>
        <w:szCs w:val="28"/>
      </w:rPr>
    </w:pPr>
    <w:r w:rsidRPr="00DA19EA">
      <w:rPr>
        <w:rFonts w:asciiTheme="majorHAnsi" w:eastAsia="Times New Roman" w:hAnsiTheme="majorHAnsi" w:cstheme="majorHAnsi"/>
        <w:b/>
        <w:bCs/>
        <w:i/>
        <w:iCs/>
        <w:color w:val="000000"/>
      </w:rPr>
      <w:t xml:space="preserve">                                                        </w:t>
    </w:r>
    <w:r w:rsidRPr="00DA19EA">
      <w:rPr>
        <w:rFonts w:asciiTheme="majorHAnsi" w:eastAsia="Times New Roman" w:hAnsiTheme="majorHAnsi" w:cstheme="majorHAnsi"/>
        <w:b/>
        <w:bCs/>
        <w:i/>
        <w:iCs/>
        <w:color w:val="000000"/>
        <w:sz w:val="28"/>
        <w:szCs w:val="28"/>
      </w:rPr>
      <w:t>Working Together to Revitalize Rural New York</w:t>
    </w:r>
  </w:p>
  <w:p w14:paraId="3AA66422" w14:textId="77777777" w:rsidR="001E0AA6" w:rsidRDefault="001E0AA6" w:rsidP="00A75F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00E"/>
    <w:multiLevelType w:val="hybridMultilevel"/>
    <w:tmpl w:val="6852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634AB"/>
    <w:multiLevelType w:val="hybridMultilevel"/>
    <w:tmpl w:val="E0B2B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42885"/>
    <w:multiLevelType w:val="multilevel"/>
    <w:tmpl w:val="662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30153"/>
    <w:multiLevelType w:val="hybridMultilevel"/>
    <w:tmpl w:val="2F901524"/>
    <w:lvl w:ilvl="0" w:tplc="5E9637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E2FCE"/>
    <w:multiLevelType w:val="hybridMultilevel"/>
    <w:tmpl w:val="4ED471D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2917357">
    <w:abstractNumId w:val="2"/>
  </w:num>
  <w:num w:numId="2" w16cid:durableId="2128619964">
    <w:abstractNumId w:val="0"/>
  </w:num>
  <w:num w:numId="3" w16cid:durableId="764233637">
    <w:abstractNumId w:val="3"/>
  </w:num>
  <w:num w:numId="4" w16cid:durableId="192349636">
    <w:abstractNumId w:val="1"/>
  </w:num>
  <w:num w:numId="5" w16cid:durableId="68460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6"/>
    <w:rsid w:val="0003027F"/>
    <w:rsid w:val="000461CE"/>
    <w:rsid w:val="00051535"/>
    <w:rsid w:val="0008084C"/>
    <w:rsid w:val="0009795B"/>
    <w:rsid w:val="000A1859"/>
    <w:rsid w:val="000B6505"/>
    <w:rsid w:val="000B7E67"/>
    <w:rsid w:val="000C3D08"/>
    <w:rsid w:val="000E3C1F"/>
    <w:rsid w:val="00102860"/>
    <w:rsid w:val="0010455A"/>
    <w:rsid w:val="00136217"/>
    <w:rsid w:val="00157F03"/>
    <w:rsid w:val="001B7723"/>
    <w:rsid w:val="001E0AA6"/>
    <w:rsid w:val="001E2002"/>
    <w:rsid w:val="001F6796"/>
    <w:rsid w:val="001F7996"/>
    <w:rsid w:val="0020527B"/>
    <w:rsid w:val="00223D24"/>
    <w:rsid w:val="00225190"/>
    <w:rsid w:val="00225818"/>
    <w:rsid w:val="0022647A"/>
    <w:rsid w:val="002315AC"/>
    <w:rsid w:val="00260F02"/>
    <w:rsid w:val="002A5664"/>
    <w:rsid w:val="002B0EAD"/>
    <w:rsid w:val="002B60F8"/>
    <w:rsid w:val="002D28F7"/>
    <w:rsid w:val="002D5D47"/>
    <w:rsid w:val="002F0C76"/>
    <w:rsid w:val="00307508"/>
    <w:rsid w:val="00322EA0"/>
    <w:rsid w:val="003258EF"/>
    <w:rsid w:val="00332A2B"/>
    <w:rsid w:val="003449D2"/>
    <w:rsid w:val="00370221"/>
    <w:rsid w:val="003818A0"/>
    <w:rsid w:val="003870FC"/>
    <w:rsid w:val="003A1C66"/>
    <w:rsid w:val="003A5FE6"/>
    <w:rsid w:val="003B7F53"/>
    <w:rsid w:val="003D2B5B"/>
    <w:rsid w:val="003E101A"/>
    <w:rsid w:val="004042C6"/>
    <w:rsid w:val="00447736"/>
    <w:rsid w:val="004867A5"/>
    <w:rsid w:val="004A2694"/>
    <w:rsid w:val="004B203F"/>
    <w:rsid w:val="004F69AA"/>
    <w:rsid w:val="00505AFD"/>
    <w:rsid w:val="00530370"/>
    <w:rsid w:val="00534040"/>
    <w:rsid w:val="0053431E"/>
    <w:rsid w:val="005418F5"/>
    <w:rsid w:val="0054249C"/>
    <w:rsid w:val="0054411A"/>
    <w:rsid w:val="00583CA2"/>
    <w:rsid w:val="005A1704"/>
    <w:rsid w:val="005C60D7"/>
    <w:rsid w:val="005F30B8"/>
    <w:rsid w:val="0060095A"/>
    <w:rsid w:val="00632997"/>
    <w:rsid w:val="00637C56"/>
    <w:rsid w:val="00650005"/>
    <w:rsid w:val="00653BCE"/>
    <w:rsid w:val="00671C15"/>
    <w:rsid w:val="00674EE9"/>
    <w:rsid w:val="006901E6"/>
    <w:rsid w:val="006A16E3"/>
    <w:rsid w:val="006A51D1"/>
    <w:rsid w:val="006C62ED"/>
    <w:rsid w:val="006C6737"/>
    <w:rsid w:val="006C755C"/>
    <w:rsid w:val="006E23FC"/>
    <w:rsid w:val="006E5266"/>
    <w:rsid w:val="007015DA"/>
    <w:rsid w:val="007160B3"/>
    <w:rsid w:val="0072007B"/>
    <w:rsid w:val="0072106F"/>
    <w:rsid w:val="00741DC9"/>
    <w:rsid w:val="0076792B"/>
    <w:rsid w:val="00777B4A"/>
    <w:rsid w:val="00791826"/>
    <w:rsid w:val="007952FD"/>
    <w:rsid w:val="007A3238"/>
    <w:rsid w:val="007C5BF7"/>
    <w:rsid w:val="007D24B5"/>
    <w:rsid w:val="007D7147"/>
    <w:rsid w:val="008020E2"/>
    <w:rsid w:val="0083344F"/>
    <w:rsid w:val="00851802"/>
    <w:rsid w:val="00854C11"/>
    <w:rsid w:val="00855736"/>
    <w:rsid w:val="0085696F"/>
    <w:rsid w:val="008648CF"/>
    <w:rsid w:val="00870943"/>
    <w:rsid w:val="00880F03"/>
    <w:rsid w:val="00896C08"/>
    <w:rsid w:val="008B1465"/>
    <w:rsid w:val="008C3AC5"/>
    <w:rsid w:val="008D243C"/>
    <w:rsid w:val="008F33AB"/>
    <w:rsid w:val="00916037"/>
    <w:rsid w:val="0091712B"/>
    <w:rsid w:val="0092011B"/>
    <w:rsid w:val="00927C5D"/>
    <w:rsid w:val="00941264"/>
    <w:rsid w:val="00945B6B"/>
    <w:rsid w:val="00987B74"/>
    <w:rsid w:val="009B43B0"/>
    <w:rsid w:val="009B73B1"/>
    <w:rsid w:val="009E3118"/>
    <w:rsid w:val="009E6CEA"/>
    <w:rsid w:val="009F2DDA"/>
    <w:rsid w:val="00A11D71"/>
    <w:rsid w:val="00A26B59"/>
    <w:rsid w:val="00A45F6B"/>
    <w:rsid w:val="00A75F3C"/>
    <w:rsid w:val="00A94131"/>
    <w:rsid w:val="00A94641"/>
    <w:rsid w:val="00AA323B"/>
    <w:rsid w:val="00AB17F8"/>
    <w:rsid w:val="00AB5C59"/>
    <w:rsid w:val="00AC164D"/>
    <w:rsid w:val="00AD1AE8"/>
    <w:rsid w:val="00AD2EE2"/>
    <w:rsid w:val="00AD79A8"/>
    <w:rsid w:val="00AE33E4"/>
    <w:rsid w:val="00B03094"/>
    <w:rsid w:val="00B41A97"/>
    <w:rsid w:val="00B565AA"/>
    <w:rsid w:val="00B62E38"/>
    <w:rsid w:val="00B63757"/>
    <w:rsid w:val="00B6455A"/>
    <w:rsid w:val="00B70905"/>
    <w:rsid w:val="00B83AE5"/>
    <w:rsid w:val="00BC158C"/>
    <w:rsid w:val="00BC23C6"/>
    <w:rsid w:val="00BC7197"/>
    <w:rsid w:val="00BD7FCF"/>
    <w:rsid w:val="00BE3EC0"/>
    <w:rsid w:val="00BE668D"/>
    <w:rsid w:val="00C2725A"/>
    <w:rsid w:val="00C4756A"/>
    <w:rsid w:val="00C52F96"/>
    <w:rsid w:val="00C7206E"/>
    <w:rsid w:val="00C75E8A"/>
    <w:rsid w:val="00C97F6E"/>
    <w:rsid w:val="00CA048D"/>
    <w:rsid w:val="00CE0BCE"/>
    <w:rsid w:val="00CE0F62"/>
    <w:rsid w:val="00CE1CF3"/>
    <w:rsid w:val="00CE49AD"/>
    <w:rsid w:val="00CE5B8D"/>
    <w:rsid w:val="00CE6694"/>
    <w:rsid w:val="00D10FF0"/>
    <w:rsid w:val="00D31E81"/>
    <w:rsid w:val="00D461C3"/>
    <w:rsid w:val="00D668B1"/>
    <w:rsid w:val="00D66A85"/>
    <w:rsid w:val="00D87A3F"/>
    <w:rsid w:val="00DA19EA"/>
    <w:rsid w:val="00DB2BD7"/>
    <w:rsid w:val="00DD4A46"/>
    <w:rsid w:val="00DE0841"/>
    <w:rsid w:val="00DE6D12"/>
    <w:rsid w:val="00DF4014"/>
    <w:rsid w:val="00E0017F"/>
    <w:rsid w:val="00E03795"/>
    <w:rsid w:val="00E1344A"/>
    <w:rsid w:val="00E17B32"/>
    <w:rsid w:val="00E32B7B"/>
    <w:rsid w:val="00E62CE3"/>
    <w:rsid w:val="00E7387B"/>
    <w:rsid w:val="00E75F26"/>
    <w:rsid w:val="00E80830"/>
    <w:rsid w:val="00E82E25"/>
    <w:rsid w:val="00EA75B8"/>
    <w:rsid w:val="00EB1370"/>
    <w:rsid w:val="00EB3D2E"/>
    <w:rsid w:val="00EC75EB"/>
    <w:rsid w:val="00EE4B6C"/>
    <w:rsid w:val="00EF4F92"/>
    <w:rsid w:val="00F00621"/>
    <w:rsid w:val="00F00F43"/>
    <w:rsid w:val="00F140A8"/>
    <w:rsid w:val="00F14116"/>
    <w:rsid w:val="00F32362"/>
    <w:rsid w:val="00F550DF"/>
    <w:rsid w:val="00F72780"/>
    <w:rsid w:val="00FC0457"/>
    <w:rsid w:val="00FC1E9A"/>
    <w:rsid w:val="00FD2208"/>
    <w:rsid w:val="00FD2C88"/>
    <w:rsid w:val="00FE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6FD6D"/>
  <w15:chartTrackingRefBased/>
  <w15:docId w15:val="{E2449064-8A05-1140-911E-4BB40BD1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A6"/>
    <w:pPr>
      <w:tabs>
        <w:tab w:val="center" w:pos="4680"/>
        <w:tab w:val="right" w:pos="9360"/>
      </w:tabs>
    </w:pPr>
  </w:style>
  <w:style w:type="character" w:customStyle="1" w:styleId="HeaderChar">
    <w:name w:val="Header Char"/>
    <w:basedOn w:val="DefaultParagraphFont"/>
    <w:link w:val="Header"/>
    <w:uiPriority w:val="99"/>
    <w:rsid w:val="001E0AA6"/>
  </w:style>
  <w:style w:type="paragraph" w:styleId="Footer">
    <w:name w:val="footer"/>
    <w:basedOn w:val="Normal"/>
    <w:link w:val="FooterChar"/>
    <w:uiPriority w:val="99"/>
    <w:unhideWhenUsed/>
    <w:rsid w:val="001E0AA6"/>
    <w:pPr>
      <w:tabs>
        <w:tab w:val="center" w:pos="4680"/>
        <w:tab w:val="right" w:pos="9360"/>
      </w:tabs>
    </w:pPr>
  </w:style>
  <w:style w:type="character" w:customStyle="1" w:styleId="FooterChar">
    <w:name w:val="Footer Char"/>
    <w:basedOn w:val="DefaultParagraphFont"/>
    <w:link w:val="Footer"/>
    <w:uiPriority w:val="99"/>
    <w:rsid w:val="001E0AA6"/>
  </w:style>
  <w:style w:type="character" w:styleId="Hyperlink">
    <w:name w:val="Hyperlink"/>
    <w:basedOn w:val="DefaultParagraphFont"/>
    <w:uiPriority w:val="99"/>
    <w:unhideWhenUsed/>
    <w:rsid w:val="00A75F3C"/>
    <w:rPr>
      <w:color w:val="0563C1" w:themeColor="hyperlink"/>
      <w:u w:val="single"/>
    </w:rPr>
  </w:style>
  <w:style w:type="character" w:customStyle="1" w:styleId="UnresolvedMention1">
    <w:name w:val="Unresolved Mention1"/>
    <w:basedOn w:val="DefaultParagraphFont"/>
    <w:uiPriority w:val="99"/>
    <w:semiHidden/>
    <w:unhideWhenUsed/>
    <w:rsid w:val="00A75F3C"/>
    <w:rPr>
      <w:color w:val="605E5C"/>
      <w:shd w:val="clear" w:color="auto" w:fill="E1DFDD"/>
    </w:rPr>
  </w:style>
  <w:style w:type="paragraph" w:styleId="ListParagraph">
    <w:name w:val="List Paragraph"/>
    <w:basedOn w:val="Normal"/>
    <w:uiPriority w:val="34"/>
    <w:qFormat/>
    <w:rsid w:val="000B6505"/>
    <w:pPr>
      <w:ind w:left="720"/>
      <w:contextualSpacing/>
    </w:pPr>
  </w:style>
  <w:style w:type="paragraph" w:styleId="BalloonText">
    <w:name w:val="Balloon Text"/>
    <w:basedOn w:val="Normal"/>
    <w:link w:val="BalloonTextChar"/>
    <w:uiPriority w:val="99"/>
    <w:semiHidden/>
    <w:unhideWhenUsed/>
    <w:rsid w:val="006C6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ED"/>
    <w:rPr>
      <w:rFonts w:ascii="Segoe UI" w:hAnsi="Segoe UI" w:cs="Segoe UI"/>
      <w:sz w:val="18"/>
      <w:szCs w:val="18"/>
    </w:rPr>
  </w:style>
  <w:style w:type="character" w:styleId="UnresolvedMention">
    <w:name w:val="Unresolved Mention"/>
    <w:basedOn w:val="DefaultParagraphFont"/>
    <w:uiPriority w:val="99"/>
    <w:semiHidden/>
    <w:unhideWhenUsed/>
    <w:rsid w:val="00AA3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3783">
      <w:bodyDiv w:val="1"/>
      <w:marLeft w:val="0"/>
      <w:marRight w:val="0"/>
      <w:marTop w:val="0"/>
      <w:marBottom w:val="0"/>
      <w:divBdr>
        <w:top w:val="none" w:sz="0" w:space="0" w:color="auto"/>
        <w:left w:val="none" w:sz="0" w:space="0" w:color="auto"/>
        <w:bottom w:val="none" w:sz="0" w:space="0" w:color="auto"/>
        <w:right w:val="none" w:sz="0" w:space="0" w:color="auto"/>
      </w:divBdr>
    </w:div>
    <w:div w:id="638808437">
      <w:bodyDiv w:val="1"/>
      <w:marLeft w:val="0"/>
      <w:marRight w:val="0"/>
      <w:marTop w:val="0"/>
      <w:marBottom w:val="0"/>
      <w:divBdr>
        <w:top w:val="none" w:sz="0" w:space="0" w:color="auto"/>
        <w:left w:val="none" w:sz="0" w:space="0" w:color="auto"/>
        <w:bottom w:val="none" w:sz="0" w:space="0" w:color="auto"/>
        <w:right w:val="none" w:sz="0" w:space="0" w:color="auto"/>
      </w:divBdr>
    </w:div>
    <w:div w:id="1073621093">
      <w:bodyDiv w:val="1"/>
      <w:marLeft w:val="0"/>
      <w:marRight w:val="0"/>
      <w:marTop w:val="0"/>
      <w:marBottom w:val="0"/>
      <w:divBdr>
        <w:top w:val="none" w:sz="0" w:space="0" w:color="auto"/>
        <w:left w:val="none" w:sz="0" w:space="0" w:color="auto"/>
        <w:bottom w:val="none" w:sz="0" w:space="0" w:color="auto"/>
        <w:right w:val="none" w:sz="0" w:space="0" w:color="auto"/>
      </w:divBdr>
    </w:div>
    <w:div w:id="1123115492">
      <w:bodyDiv w:val="1"/>
      <w:marLeft w:val="0"/>
      <w:marRight w:val="0"/>
      <w:marTop w:val="0"/>
      <w:marBottom w:val="0"/>
      <w:divBdr>
        <w:top w:val="none" w:sz="0" w:space="0" w:color="auto"/>
        <w:left w:val="none" w:sz="0" w:space="0" w:color="auto"/>
        <w:bottom w:val="none" w:sz="0" w:space="0" w:color="auto"/>
        <w:right w:val="none" w:sz="0" w:space="0" w:color="auto"/>
      </w:divBdr>
    </w:div>
    <w:div w:id="1208640023">
      <w:bodyDiv w:val="1"/>
      <w:marLeft w:val="0"/>
      <w:marRight w:val="0"/>
      <w:marTop w:val="0"/>
      <w:marBottom w:val="0"/>
      <w:divBdr>
        <w:top w:val="none" w:sz="0" w:space="0" w:color="auto"/>
        <w:left w:val="none" w:sz="0" w:space="0" w:color="auto"/>
        <w:bottom w:val="none" w:sz="0" w:space="0" w:color="auto"/>
        <w:right w:val="none" w:sz="0" w:space="0" w:color="auto"/>
      </w:divBdr>
    </w:div>
    <w:div w:id="20614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legislation/bills/2025/S595/amendment/A" TargetMode="External"/><Relationship Id="rId3" Type="http://schemas.openxmlformats.org/officeDocument/2006/relationships/settings" Target="settings.xml"/><Relationship Id="rId7" Type="http://schemas.openxmlformats.org/officeDocument/2006/relationships/hyperlink" Target="https://www.nysenate.gov/legislation/bills/2025/S27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Prividera</dc:creator>
  <cp:keywords/>
  <dc:description/>
  <cp:lastModifiedBy>Mike Borges</cp:lastModifiedBy>
  <cp:revision>15</cp:revision>
  <cp:lastPrinted>2023-12-06T14:37:00Z</cp:lastPrinted>
  <dcterms:created xsi:type="dcterms:W3CDTF">2025-11-19T15:09:00Z</dcterms:created>
  <dcterms:modified xsi:type="dcterms:W3CDTF">2026-02-24T16:29:00Z</dcterms:modified>
</cp:coreProperties>
</file>